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FB197" w14:textId="4C1AA540" w:rsidR="00794B88" w:rsidRDefault="00794B88" w:rsidP="00794B88">
      <w:pPr>
        <w:jc w:val="center"/>
        <w:rPr>
          <w:rFonts w:ascii="Arial" w:hAnsi="Arial" w:cs="Arial"/>
          <w:b/>
          <w:i/>
          <w:sz w:val="24"/>
        </w:rPr>
      </w:pPr>
      <w:r w:rsidRPr="00794B88">
        <w:rPr>
          <w:rFonts w:ascii="Arial" w:hAnsi="Arial" w:cs="Arial"/>
          <w:b/>
          <w:sz w:val="24"/>
        </w:rPr>
        <w:t xml:space="preserve">Projekt rozporządzenia Ministra Infrastruktury </w:t>
      </w:r>
      <w:r w:rsidR="00630704">
        <w:rPr>
          <w:rFonts w:ascii="Arial" w:hAnsi="Arial" w:cs="Arial"/>
          <w:b/>
          <w:sz w:val="24"/>
        </w:rPr>
        <w:t xml:space="preserve">zmieniającego rozporządzenie </w:t>
      </w:r>
      <w:r w:rsidRPr="00794B88">
        <w:rPr>
          <w:rFonts w:ascii="Arial" w:hAnsi="Arial" w:cs="Arial"/>
          <w:b/>
          <w:i/>
          <w:sz w:val="24"/>
        </w:rPr>
        <w:t xml:space="preserve">w sprawie </w:t>
      </w:r>
      <w:r w:rsidR="00630704">
        <w:rPr>
          <w:rFonts w:ascii="Arial" w:hAnsi="Arial" w:cs="Arial"/>
          <w:b/>
          <w:i/>
          <w:sz w:val="24"/>
        </w:rPr>
        <w:t>udostępniania infrastruktury kolejowej</w:t>
      </w:r>
    </w:p>
    <w:p w14:paraId="5F5F86B9" w14:textId="2DB0A1BA" w:rsidR="000B1828" w:rsidRDefault="000B1828" w:rsidP="00794B88">
      <w:pPr>
        <w:jc w:val="center"/>
        <w:rPr>
          <w:rFonts w:ascii="Arial" w:hAnsi="Arial" w:cs="Arial"/>
          <w:b/>
          <w:iCs/>
          <w:sz w:val="24"/>
        </w:rPr>
      </w:pPr>
      <w:r w:rsidRPr="000B1828">
        <w:rPr>
          <w:rFonts w:ascii="Arial" w:hAnsi="Arial" w:cs="Arial"/>
          <w:bCs/>
          <w:iCs/>
          <w:sz w:val="24"/>
        </w:rPr>
        <w:t xml:space="preserve">Uwagi Forum Kolejowego </w:t>
      </w:r>
      <w:r w:rsidRPr="0029715B">
        <w:rPr>
          <w:rFonts w:ascii="Arial" w:hAnsi="Arial" w:cs="Arial"/>
          <w:b/>
          <w:iCs/>
          <w:sz w:val="24"/>
        </w:rPr>
        <w:t>RBF</w:t>
      </w:r>
      <w:r w:rsidRPr="000B1828">
        <w:rPr>
          <w:rFonts w:ascii="Arial" w:hAnsi="Arial" w:cs="Arial"/>
          <w:bCs/>
          <w:iCs/>
          <w:sz w:val="24"/>
        </w:rPr>
        <w:t xml:space="preserve"> do wersji z dnia </w:t>
      </w:r>
      <w:r w:rsidR="00630704">
        <w:rPr>
          <w:rFonts w:ascii="Arial" w:hAnsi="Arial" w:cs="Arial"/>
          <w:b/>
          <w:iCs/>
          <w:sz w:val="24"/>
        </w:rPr>
        <w:t>10.12.</w:t>
      </w:r>
      <w:r w:rsidRPr="0029715B">
        <w:rPr>
          <w:rFonts w:ascii="Arial" w:hAnsi="Arial" w:cs="Arial"/>
          <w:b/>
          <w:iCs/>
          <w:sz w:val="24"/>
        </w:rPr>
        <w:t>2024</w:t>
      </w:r>
    </w:p>
    <w:p w14:paraId="09CA3A49" w14:textId="2A3B6E35" w:rsidR="00367095" w:rsidRPr="00B15553" w:rsidRDefault="00367095" w:rsidP="00794B88">
      <w:pPr>
        <w:jc w:val="center"/>
        <w:rPr>
          <w:rFonts w:ascii="Arial" w:hAnsi="Arial" w:cs="Arial"/>
          <w:b/>
          <w:i/>
          <w:color w:val="FF0000"/>
          <w:sz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829"/>
        <w:gridCol w:w="5973"/>
        <w:gridCol w:w="6076"/>
      </w:tblGrid>
      <w:tr w:rsidR="00630704" w:rsidRPr="00794B88" w14:paraId="3CB8175D" w14:textId="77777777" w:rsidTr="00630704">
        <w:trPr>
          <w:trHeight w:val="851"/>
        </w:trPr>
        <w:tc>
          <w:tcPr>
            <w:tcW w:w="576" w:type="dxa"/>
            <w:vAlign w:val="center"/>
          </w:tcPr>
          <w:p w14:paraId="3578DADE" w14:textId="77777777" w:rsidR="00630704" w:rsidRPr="00794B88" w:rsidRDefault="00630704" w:rsidP="00794B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94B88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1829" w:type="dxa"/>
            <w:vAlign w:val="center"/>
          </w:tcPr>
          <w:p w14:paraId="78715581" w14:textId="77777777" w:rsidR="00630704" w:rsidRPr="00794B88" w:rsidRDefault="00630704" w:rsidP="0016208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Jednostka redakcyjna</w:t>
            </w:r>
          </w:p>
        </w:tc>
        <w:tc>
          <w:tcPr>
            <w:tcW w:w="5973" w:type="dxa"/>
            <w:vAlign w:val="center"/>
          </w:tcPr>
          <w:p w14:paraId="2EEA346B" w14:textId="77777777" w:rsidR="00630704" w:rsidRPr="00794B88" w:rsidRDefault="00630704" w:rsidP="0016208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94B88">
              <w:rPr>
                <w:rFonts w:ascii="Arial" w:hAnsi="Arial" w:cs="Arial"/>
                <w:b/>
                <w:sz w:val="24"/>
              </w:rPr>
              <w:t xml:space="preserve">Treść uwagi </w:t>
            </w:r>
            <w:r>
              <w:rPr>
                <w:rFonts w:ascii="Arial" w:hAnsi="Arial" w:cs="Arial"/>
                <w:b/>
                <w:sz w:val="24"/>
              </w:rPr>
              <w:t>lub propozycja zmiany przepisu</w:t>
            </w:r>
          </w:p>
        </w:tc>
        <w:tc>
          <w:tcPr>
            <w:tcW w:w="6076" w:type="dxa"/>
            <w:vAlign w:val="center"/>
          </w:tcPr>
          <w:p w14:paraId="69E9BEC4" w14:textId="77777777" w:rsidR="00630704" w:rsidRPr="00794B88" w:rsidRDefault="00630704" w:rsidP="00794B8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Uzasadnienie</w:t>
            </w:r>
          </w:p>
        </w:tc>
      </w:tr>
      <w:tr w:rsidR="00630704" w14:paraId="55D57684" w14:textId="77777777" w:rsidTr="00630704">
        <w:trPr>
          <w:trHeight w:val="851"/>
        </w:trPr>
        <w:tc>
          <w:tcPr>
            <w:tcW w:w="576" w:type="dxa"/>
          </w:tcPr>
          <w:p w14:paraId="1AB3DC36" w14:textId="77777777" w:rsidR="00630704" w:rsidRDefault="00630704" w:rsidP="000855CC">
            <w:pPr>
              <w:spacing w:before="240"/>
              <w:jc w:val="center"/>
            </w:pPr>
            <w:r>
              <w:t>1</w:t>
            </w:r>
          </w:p>
          <w:p w14:paraId="7D6517A8" w14:textId="4C335010" w:rsidR="00630704" w:rsidRDefault="00630704" w:rsidP="000855CC">
            <w:pPr>
              <w:spacing w:before="240"/>
              <w:jc w:val="center"/>
            </w:pPr>
          </w:p>
        </w:tc>
        <w:tc>
          <w:tcPr>
            <w:tcW w:w="1829" w:type="dxa"/>
          </w:tcPr>
          <w:p w14:paraId="2A49962C" w14:textId="0B8306BE" w:rsidR="00630704" w:rsidRDefault="00DF7EB5" w:rsidP="000855CC">
            <w:pPr>
              <w:spacing w:before="240"/>
            </w:pPr>
            <w:r>
              <w:t>§1 pkt. 1 lit b) nowelizacji dotyczący §2 nowego pkt. 3a</w:t>
            </w:r>
          </w:p>
        </w:tc>
        <w:tc>
          <w:tcPr>
            <w:tcW w:w="5973" w:type="dxa"/>
          </w:tcPr>
          <w:p w14:paraId="567A4032" w14:textId="77777777" w:rsidR="00630704" w:rsidRDefault="00630704" w:rsidP="00CA75D8">
            <w:pPr>
              <w:rPr>
                <w:b/>
                <w:bCs/>
              </w:rPr>
            </w:pPr>
          </w:p>
          <w:p w14:paraId="6412DF7D" w14:textId="0403F6D4" w:rsidR="00DF7EB5" w:rsidRPr="00DF7EB5" w:rsidRDefault="00DF7EB5" w:rsidP="00CA75D8">
            <w:pPr>
              <w:rPr>
                <w:i/>
                <w:iCs/>
              </w:rPr>
            </w:pPr>
            <w:r>
              <w:t>„</w:t>
            </w:r>
            <w:r w:rsidRPr="00DF7EB5">
              <w:t xml:space="preserve">3a) </w:t>
            </w:r>
            <w:proofErr w:type="spellStart"/>
            <w:r w:rsidRPr="00DF7EB5">
              <w:t>bruttotonokilometr</w:t>
            </w:r>
            <w:proofErr w:type="spellEnd"/>
            <w:r w:rsidRPr="00DF7EB5">
              <w:t xml:space="preserve"> – miernik pracy </w:t>
            </w:r>
            <w:r>
              <w:t xml:space="preserve">eksploatacyjnej odpowiadający przejazdowi jednej tony brutto </w:t>
            </w:r>
            <w:r w:rsidRPr="00DF7EB5">
              <w:rPr>
                <w:strike/>
              </w:rPr>
              <w:t xml:space="preserve">towaru </w:t>
            </w:r>
            <w:r w:rsidRPr="00DF7EB5">
              <w:t>na odległość jednego kilometra</w:t>
            </w:r>
            <w:r>
              <w:t xml:space="preserve">;” – </w:t>
            </w:r>
            <w:r>
              <w:rPr>
                <w:i/>
                <w:iCs/>
              </w:rPr>
              <w:t xml:space="preserve">należy skreślić w nowelizacji słowo „towaru” </w:t>
            </w:r>
          </w:p>
        </w:tc>
        <w:tc>
          <w:tcPr>
            <w:tcW w:w="6076" w:type="dxa"/>
          </w:tcPr>
          <w:p w14:paraId="3F62A861" w14:textId="5D1FA099" w:rsidR="00630704" w:rsidRDefault="00DF7EB5" w:rsidP="000855CC">
            <w:pPr>
              <w:spacing w:before="240"/>
            </w:pPr>
            <w:r>
              <w:t xml:space="preserve">Pojęcie masy brutto używane jest zarówno w odniesieniu do pociągów towarowych jak i pasażerskich oraz lokomotyw luzem. Przy zastosowaniu takiej definicji </w:t>
            </w:r>
            <w:r w:rsidR="00222E5D">
              <w:t xml:space="preserve">praca </w:t>
            </w:r>
            <w:r w:rsidR="00F80886">
              <w:t>eksploatacyjna</w:t>
            </w:r>
            <w:r w:rsidR="00222E5D">
              <w:t xml:space="preserve"> wykonana przez </w:t>
            </w:r>
            <w:r>
              <w:t xml:space="preserve">lokomotywy luzem lub pociąg pasażerski wyniosłaby zero. </w:t>
            </w:r>
          </w:p>
          <w:p w14:paraId="143D1CCE" w14:textId="77777777" w:rsidR="00222E5D" w:rsidRDefault="00222E5D" w:rsidP="000855CC">
            <w:pPr>
              <w:spacing w:before="240"/>
            </w:pPr>
            <w:r>
              <w:t>Patrz tez odpowiednie definicja na portalu UTK:</w:t>
            </w:r>
          </w:p>
          <w:p w14:paraId="206157BD" w14:textId="56F7F7F7" w:rsidR="00222E5D" w:rsidRDefault="00222E5D" w:rsidP="000855CC">
            <w:pPr>
              <w:spacing w:before="240"/>
            </w:pPr>
            <w:r w:rsidRPr="00222E5D">
              <w:rPr>
                <w:u w:val="single"/>
              </w:rPr>
              <w:t>https://utk.gov.pl/pl/dokumenty-i-formularze/sprawozdania/formularze/15255,Druk-TTE-Wskazniki-techniczno-eksploatacyjne-taboru-kolejowego.html</w:t>
            </w:r>
            <w:r>
              <w:t>.</w:t>
            </w:r>
          </w:p>
          <w:p w14:paraId="46CBD2C8" w14:textId="77777777" w:rsidR="00222E5D" w:rsidRPr="00222E5D" w:rsidRDefault="00222E5D" w:rsidP="00222E5D">
            <w:pPr>
              <w:spacing w:before="240"/>
              <w:rPr>
                <w:sz w:val="18"/>
                <w:szCs w:val="18"/>
              </w:rPr>
            </w:pPr>
            <w:r w:rsidRPr="00222E5D">
              <w:rPr>
                <w:sz w:val="18"/>
                <w:szCs w:val="18"/>
              </w:rPr>
              <w:t>Brutto tonokilometry oblicza się jako sumę iloczynów masy brutto(w tonach) poszczególnych pociągów w okresie sprawozdawczym i odległości ich przebiegu (w kilometrach).</w:t>
            </w:r>
          </w:p>
          <w:p w14:paraId="14622304" w14:textId="77777777" w:rsidR="00222E5D" w:rsidRPr="00222E5D" w:rsidRDefault="00222E5D" w:rsidP="00222E5D">
            <w:pPr>
              <w:spacing w:before="240"/>
              <w:rPr>
                <w:sz w:val="18"/>
                <w:szCs w:val="18"/>
              </w:rPr>
            </w:pPr>
            <w:r w:rsidRPr="00222E5D">
              <w:rPr>
                <w:sz w:val="18"/>
                <w:szCs w:val="18"/>
              </w:rPr>
              <w:t>Do masy (ciężaru) brutto pociągu towarowego (w tym intermodalnego) zalicza się masę własną wagonów włączonych do składu pociągu, masę własną lokomotywy oraz masę towarów (łącznie z ich opakowaniem) załadowanych do wagonów.</w:t>
            </w:r>
          </w:p>
          <w:p w14:paraId="13E61A8F" w14:textId="77777777" w:rsidR="00222E5D" w:rsidRPr="00222E5D" w:rsidRDefault="00222E5D" w:rsidP="00222E5D">
            <w:pPr>
              <w:spacing w:before="240"/>
              <w:rPr>
                <w:sz w:val="18"/>
                <w:szCs w:val="18"/>
              </w:rPr>
            </w:pPr>
            <w:r w:rsidRPr="00222E5D">
              <w:rPr>
                <w:sz w:val="18"/>
                <w:szCs w:val="18"/>
              </w:rPr>
              <w:t xml:space="preserve">Masa (ciężar) brutto pociągu pasażerskiego składa się z masy własnej wagonów włączonych do składu pociągu, masy własnej lokomotywy, zespołu lub wagonu trakcyjnego lub innego pojazdu używanego jako siła trakcyjna oraz z </w:t>
            </w:r>
            <w:r w:rsidRPr="00222E5D">
              <w:rPr>
                <w:b/>
                <w:bCs/>
                <w:sz w:val="18"/>
                <w:szCs w:val="18"/>
              </w:rPr>
              <w:t>masy pasażerów, bagażu i rzeczy,</w:t>
            </w:r>
            <w:r w:rsidRPr="00222E5D">
              <w:rPr>
                <w:sz w:val="18"/>
                <w:szCs w:val="18"/>
              </w:rPr>
              <w:t xml:space="preserve"> znajdujących się w tych wagonach, a ponadto z masy przesyłek przewożonych w wagonach towarowych w przypadku włączenia ich do pociągu osobowego.</w:t>
            </w:r>
          </w:p>
          <w:p w14:paraId="7D95AC13" w14:textId="77777777" w:rsidR="00222E5D" w:rsidRPr="00222E5D" w:rsidRDefault="00222E5D" w:rsidP="00222E5D">
            <w:pPr>
              <w:spacing w:before="240"/>
              <w:rPr>
                <w:sz w:val="18"/>
                <w:szCs w:val="18"/>
              </w:rPr>
            </w:pPr>
            <w:r w:rsidRPr="00222E5D">
              <w:rPr>
                <w:sz w:val="18"/>
                <w:szCs w:val="18"/>
              </w:rPr>
              <w:t>Do masy (ciężaru) brutto pojazdu kolejowego luzem zalicza się masę własną danego pojazdu kolejowego.</w:t>
            </w:r>
          </w:p>
          <w:p w14:paraId="43149F84" w14:textId="6CA566B0" w:rsidR="00222E5D" w:rsidRDefault="00222E5D" w:rsidP="000855CC">
            <w:pPr>
              <w:spacing w:before="240"/>
            </w:pPr>
            <w:r w:rsidRPr="00222E5D">
              <w:rPr>
                <w:sz w:val="18"/>
                <w:szCs w:val="18"/>
              </w:rPr>
              <w:t xml:space="preserve"> </w:t>
            </w:r>
          </w:p>
        </w:tc>
      </w:tr>
      <w:tr w:rsidR="00630704" w14:paraId="67E79710" w14:textId="77777777" w:rsidTr="00630704">
        <w:trPr>
          <w:trHeight w:val="851"/>
        </w:trPr>
        <w:tc>
          <w:tcPr>
            <w:tcW w:w="576" w:type="dxa"/>
          </w:tcPr>
          <w:p w14:paraId="79309884" w14:textId="11A4C3EA" w:rsidR="00630704" w:rsidRDefault="00630704" w:rsidP="000855CC">
            <w:pPr>
              <w:spacing w:before="240"/>
              <w:jc w:val="center"/>
            </w:pPr>
            <w:r>
              <w:lastRenderedPageBreak/>
              <w:t>2</w:t>
            </w:r>
          </w:p>
        </w:tc>
        <w:tc>
          <w:tcPr>
            <w:tcW w:w="1829" w:type="dxa"/>
          </w:tcPr>
          <w:p w14:paraId="0094A8F0" w14:textId="68F88AE3" w:rsidR="00630704" w:rsidRDefault="00222E5D" w:rsidP="000855CC">
            <w:pPr>
              <w:spacing w:before="240"/>
            </w:pPr>
            <w:r>
              <w:t>§1 pkt. 2</w:t>
            </w:r>
            <w:r w:rsidR="009F79EE">
              <w:t>) lit. a), b)</w:t>
            </w:r>
            <w:r w:rsidR="0057659D">
              <w:t xml:space="preserve">, </w:t>
            </w:r>
            <w:r w:rsidR="009F79EE">
              <w:t xml:space="preserve">g)  </w:t>
            </w:r>
            <w:r w:rsidR="0057659D">
              <w:t xml:space="preserve">i części m) </w:t>
            </w:r>
            <w:r w:rsidR="009F79EE">
              <w:t xml:space="preserve">nowelizacji </w:t>
            </w:r>
            <w:r>
              <w:t>dotycząc</w:t>
            </w:r>
            <w:r w:rsidR="009F79EE">
              <w:t>a</w:t>
            </w:r>
            <w:r>
              <w:t xml:space="preserve"> §21 ust. 2 </w:t>
            </w:r>
            <w:r w:rsidR="00D60953">
              <w:t xml:space="preserve">i 4 </w:t>
            </w:r>
            <w:r w:rsidR="009F79EE">
              <w:t xml:space="preserve">oraz dodania ust. 12a. </w:t>
            </w:r>
          </w:p>
          <w:p w14:paraId="5857F5BD" w14:textId="6F12DD46" w:rsidR="009F79EE" w:rsidRDefault="009F79EE" w:rsidP="000855CC">
            <w:pPr>
              <w:spacing w:before="240"/>
            </w:pPr>
          </w:p>
        </w:tc>
        <w:tc>
          <w:tcPr>
            <w:tcW w:w="5973" w:type="dxa"/>
          </w:tcPr>
          <w:p w14:paraId="1BA60D07" w14:textId="77777777" w:rsidR="00630704" w:rsidRDefault="00630704" w:rsidP="009D511E">
            <w:pPr>
              <w:rPr>
                <w:b/>
                <w:bCs/>
              </w:rPr>
            </w:pPr>
          </w:p>
          <w:p w14:paraId="417B422E" w14:textId="46940E00" w:rsidR="00222E5D" w:rsidRPr="00222E5D" w:rsidRDefault="00222E5D" w:rsidP="009D51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Zaniechać </w:t>
            </w:r>
            <w:r w:rsidR="009F79EE">
              <w:rPr>
                <w:b/>
                <w:bCs/>
                <w:i/>
                <w:iCs/>
              </w:rPr>
              <w:t xml:space="preserve">tych zmian </w:t>
            </w:r>
            <w:r>
              <w:rPr>
                <w:b/>
                <w:bCs/>
                <w:i/>
                <w:iCs/>
              </w:rPr>
              <w:t xml:space="preserve">tej zmiany </w:t>
            </w:r>
          </w:p>
        </w:tc>
        <w:tc>
          <w:tcPr>
            <w:tcW w:w="6076" w:type="dxa"/>
          </w:tcPr>
          <w:p w14:paraId="30A6B57B" w14:textId="2D1566ED" w:rsidR="00367095" w:rsidRDefault="00222E5D" w:rsidP="00B15553">
            <w:pPr>
              <w:spacing w:before="240"/>
            </w:pPr>
            <w:r>
              <w:t xml:space="preserve">Wprowadzenie do bazy kosztów służącej obliczaniu stawki zależnej od kosztów bezpośrednich </w:t>
            </w:r>
            <w:r w:rsidRPr="00222E5D">
              <w:rPr>
                <w:b/>
                <w:bCs/>
              </w:rPr>
              <w:t>„części stawki zależnej od postojów handlowych przy peronach”</w:t>
            </w:r>
            <w:r>
              <w:rPr>
                <w:b/>
                <w:bCs/>
              </w:rPr>
              <w:t xml:space="preserve"> </w:t>
            </w:r>
            <w:r w:rsidR="00D60953" w:rsidRPr="00D60953">
              <w:t xml:space="preserve">wprowadza </w:t>
            </w:r>
            <w:r w:rsidR="00D60953">
              <w:t xml:space="preserve">składnik, dla którego ustalenie jaka część (i czy w ogóle) tych kosztów </w:t>
            </w:r>
            <w:r w:rsidR="00D60953" w:rsidRPr="00B15553">
              <w:rPr>
                <w:b/>
                <w:bCs/>
              </w:rPr>
              <w:t>jest rezultatem przejazdu pociągu</w:t>
            </w:r>
            <w:r w:rsidR="00D60953">
              <w:t xml:space="preserve"> jest niewykonalne.  Tymczasem jest to kryterium nadrzędne wynikające z </w:t>
            </w:r>
            <w:r w:rsidR="00B15553">
              <w:t xml:space="preserve">ustawy prawa UE. </w:t>
            </w:r>
            <w:r w:rsidR="00D60953">
              <w:t xml:space="preserve"> O ile w przypadku kosztów utrzymania torów są nie budzące sporu badania techniczne określające jaka część kosztów jest rezultatem przejazdu pociągu, a jaka postępuje wraz z czasem niezależnie od ruchu, to w odniesieniu do peronów, dojść itp. trudno o ustalenie związku przyczynowo – skutkowego z przejazdem pociągu, także tego który zatrzymuje się przy peronie. Wydaje się, że celowe jest pokrywanie tych kosztów w ramach umowy utrzymaniowej, a nie stawek dostępu. </w:t>
            </w:r>
            <w:r w:rsidR="00B15553">
              <w:t xml:space="preserve">Zaliczenie dostępu do peronów itd. do zakresu minimalnego dostępu (wyrok TSUE) nie przesądza o wprowadzeniu kosztów ich utrzymania do stawek dostępu. Jest wiele kosztów utrzymaniowych, które w całości lub w części nie są częścią bazy kosztów służącej ustaleniu stawek pomimo ze muszą być ponoszone dla zapewnienia minimalnego dostępu (np. utrzymanie urządzeń </w:t>
            </w:r>
            <w:proofErr w:type="spellStart"/>
            <w:r w:rsidR="00B15553">
              <w:t>srk</w:t>
            </w:r>
            <w:proofErr w:type="spellEnd"/>
            <w:r w:rsidR="00B15553">
              <w:t xml:space="preserve">).   </w:t>
            </w:r>
          </w:p>
        </w:tc>
      </w:tr>
      <w:tr w:rsidR="00630704" w14:paraId="4CCA6FB3" w14:textId="77777777" w:rsidTr="00630704">
        <w:trPr>
          <w:trHeight w:val="851"/>
        </w:trPr>
        <w:tc>
          <w:tcPr>
            <w:tcW w:w="576" w:type="dxa"/>
          </w:tcPr>
          <w:p w14:paraId="756D27E8" w14:textId="77777777" w:rsidR="00B15553" w:rsidRDefault="00B15553" w:rsidP="00B04420">
            <w:pPr>
              <w:jc w:val="center"/>
            </w:pPr>
          </w:p>
          <w:p w14:paraId="6AB3FF84" w14:textId="39E731C5" w:rsidR="00630704" w:rsidRDefault="00630704" w:rsidP="00B04420">
            <w:pPr>
              <w:jc w:val="center"/>
            </w:pPr>
            <w:r>
              <w:t>3</w:t>
            </w:r>
          </w:p>
        </w:tc>
        <w:tc>
          <w:tcPr>
            <w:tcW w:w="1829" w:type="dxa"/>
          </w:tcPr>
          <w:p w14:paraId="4521BD6D" w14:textId="77777777" w:rsidR="009F79EE" w:rsidRDefault="009F79EE" w:rsidP="00B04420"/>
          <w:p w14:paraId="165E5A60" w14:textId="16352D7D" w:rsidR="009F79EE" w:rsidRDefault="009F79EE" w:rsidP="00B04420">
            <w:r>
              <w:t>§1 pkt. 2) lit. i) nowelizacji dotycząca §21 ust. 16</w:t>
            </w:r>
          </w:p>
        </w:tc>
        <w:tc>
          <w:tcPr>
            <w:tcW w:w="5973" w:type="dxa"/>
          </w:tcPr>
          <w:p w14:paraId="65B05815" w14:textId="77777777" w:rsidR="00630704" w:rsidRDefault="00630704" w:rsidP="00B04420"/>
          <w:p w14:paraId="3CBDCC2C" w14:textId="7B8E029A" w:rsidR="009F79EE" w:rsidRPr="009F79EE" w:rsidRDefault="009F79EE" w:rsidP="00B04420">
            <w:pPr>
              <w:rPr>
                <w:b/>
                <w:bCs/>
                <w:i/>
                <w:iCs/>
              </w:rPr>
            </w:pPr>
            <w:r w:rsidRPr="009F79EE">
              <w:rPr>
                <w:b/>
                <w:bCs/>
                <w:i/>
                <w:iCs/>
              </w:rPr>
              <w:t xml:space="preserve">Nie uchylać ust. 16. </w:t>
            </w:r>
          </w:p>
        </w:tc>
        <w:tc>
          <w:tcPr>
            <w:tcW w:w="6076" w:type="dxa"/>
          </w:tcPr>
          <w:p w14:paraId="2864AD78" w14:textId="77777777" w:rsidR="00630704" w:rsidRDefault="00630704" w:rsidP="00B04420"/>
          <w:p w14:paraId="0C8F6423" w14:textId="291A6186" w:rsidR="0057659D" w:rsidRDefault="009F79EE" w:rsidP="00B04420">
            <w:r>
              <w:t>Zasada zawarta w ust. 16, że „</w:t>
            </w:r>
            <w:r w:rsidRPr="009F79EE">
              <w:rPr>
                <w:i/>
                <w:iCs/>
              </w:rPr>
              <w:t>Część stawki związana z rodzajem wykonywanych przewozów, o której mowa w ust. 1, przyjmuje wartość 0 zł/pociągokilometr w odniesieniu do przewozów, których wykonywanie jest uzależnione od dofinansowania ze środków publicznych</w:t>
            </w:r>
            <w:r w:rsidRPr="009F79EE">
              <w:t>.</w:t>
            </w:r>
            <w:r>
              <w:t xml:space="preserve">” </w:t>
            </w:r>
            <w:r w:rsidRPr="00B15553">
              <w:rPr>
                <w:b/>
                <w:bCs/>
              </w:rPr>
              <w:t>jest słuszna i powinna być zachowana</w:t>
            </w:r>
            <w:r>
              <w:t>. Nie ma sensu stosowanie w odniesieniu do określonej grupy przewozów preferencji w postaci dot</w:t>
            </w:r>
            <w:r w:rsidR="0057659D">
              <w:t>acji ze środków publicznych i równocześnie obciążania jej dodatkowymi opłatami</w:t>
            </w:r>
            <w:r>
              <w:t xml:space="preserve">. </w:t>
            </w:r>
            <w:r w:rsidR="0057659D">
              <w:t xml:space="preserve"> Takie postępowanie zimniejszy skuteczność preferencji i najprawdopodobniej spowoduje zmniejszenie przewozów wobec sztywnego charakteru budżetu przewidzianego na dotacje</w:t>
            </w:r>
            <w:r w:rsidR="00B15553">
              <w:t xml:space="preserve"> do usług publicznych oraz do przewozów intermodalnych. </w:t>
            </w:r>
          </w:p>
          <w:p w14:paraId="72589BAA" w14:textId="77777777" w:rsidR="00367095" w:rsidRDefault="00367095" w:rsidP="00B04420"/>
          <w:p w14:paraId="584E8FC5" w14:textId="153C87FA" w:rsidR="00367095" w:rsidRDefault="00367095" w:rsidP="00B04420"/>
        </w:tc>
      </w:tr>
      <w:tr w:rsidR="00630704" w14:paraId="478A58F3" w14:textId="77777777" w:rsidTr="00630704">
        <w:trPr>
          <w:trHeight w:val="851"/>
        </w:trPr>
        <w:tc>
          <w:tcPr>
            <w:tcW w:w="576" w:type="dxa"/>
          </w:tcPr>
          <w:p w14:paraId="2EB90E84" w14:textId="736C613D" w:rsidR="00630704" w:rsidRDefault="00B15553" w:rsidP="000855CC">
            <w:pPr>
              <w:spacing w:before="240"/>
              <w:jc w:val="center"/>
            </w:pPr>
            <w:r>
              <w:lastRenderedPageBreak/>
              <w:t>4</w:t>
            </w:r>
          </w:p>
        </w:tc>
        <w:tc>
          <w:tcPr>
            <w:tcW w:w="1829" w:type="dxa"/>
          </w:tcPr>
          <w:p w14:paraId="5EA728A3" w14:textId="77777777" w:rsidR="00630704" w:rsidRDefault="0057659D" w:rsidP="000855CC">
            <w:pPr>
              <w:spacing w:before="240"/>
            </w:pPr>
            <w:r>
              <w:t xml:space="preserve">§1 pkt. 3) nowelizacji </w:t>
            </w:r>
            <w:r w:rsidR="00367095">
              <w:t xml:space="preserve">dotyczący §23 </w:t>
            </w:r>
          </w:p>
          <w:p w14:paraId="0C6EA97C" w14:textId="0B542356" w:rsidR="00367095" w:rsidRDefault="00367095" w:rsidP="000855CC">
            <w:pPr>
              <w:spacing w:before="240"/>
            </w:pPr>
          </w:p>
        </w:tc>
        <w:tc>
          <w:tcPr>
            <w:tcW w:w="5973" w:type="dxa"/>
          </w:tcPr>
          <w:p w14:paraId="0C68B11F" w14:textId="5BCF0914" w:rsidR="00630704" w:rsidRPr="00367095" w:rsidRDefault="00367095" w:rsidP="000A64B7">
            <w:pPr>
              <w:spacing w:before="240"/>
              <w:rPr>
                <w:b/>
                <w:bCs/>
                <w:i/>
                <w:iCs/>
              </w:rPr>
            </w:pPr>
            <w:r w:rsidRPr="00367095">
              <w:rPr>
                <w:b/>
                <w:bCs/>
                <w:i/>
                <w:iCs/>
              </w:rPr>
              <w:t xml:space="preserve">Nie wprowadzać tej zmiany. </w:t>
            </w:r>
          </w:p>
        </w:tc>
        <w:tc>
          <w:tcPr>
            <w:tcW w:w="6076" w:type="dxa"/>
          </w:tcPr>
          <w:p w14:paraId="212ED0AE" w14:textId="4FE1FC34" w:rsidR="00367095" w:rsidRDefault="00367095" w:rsidP="00367095">
            <w:pPr>
              <w:spacing w:before="240"/>
            </w:pPr>
            <w:r>
              <w:t xml:space="preserve">Radykalne </w:t>
            </w:r>
            <w:r w:rsidRPr="00B15553">
              <w:rPr>
                <w:b/>
                <w:bCs/>
              </w:rPr>
              <w:t>podwyższenie opłaty rezerwacyjnej (do 100%)</w:t>
            </w:r>
            <w:r>
              <w:t xml:space="preserve"> zwiększy udział indywidulnych rozkładów jazdy i będzie skłaniać do dokonywania rezerwacji przepustowości w ostatniej chwili, gdy jest już pewność co do nadania ładunków.  </w:t>
            </w:r>
            <w:r w:rsidR="00C873EA">
              <w:t xml:space="preserve">Dotyczy to zwłaszcza jej podwyższenia w odniesieniu do rozkładu rocznego </w:t>
            </w:r>
            <w:r>
              <w:t xml:space="preserve">Same opłaty rezerwacyjne są konieczne dla uniknięcia nadrezerwacji, która może mieć charakter nieuczciwej konkurencji. W istocie leżą więc one w interesie przewoźników i służą poprawnemu funkcjonowaniu rynku. Jednak </w:t>
            </w:r>
            <w:r w:rsidR="00AF5066">
              <w:t xml:space="preserve">wskazane </w:t>
            </w:r>
            <w:r>
              <w:t>jest zachowanie właściwej proporcji. Uzasadnienie tak drastycznej zmiany powinno obejmować analizę zjawiska i konsultacje z przewoźnikami.</w:t>
            </w:r>
            <w:r w:rsidR="00C1142E">
              <w:t xml:space="preserve"> Uzasadnienie nie zawiera takiej analizy. </w:t>
            </w:r>
          </w:p>
          <w:p w14:paraId="275FB925" w14:textId="4C457F3B" w:rsidR="00630704" w:rsidRDefault="00367095" w:rsidP="00367095">
            <w:pPr>
              <w:spacing w:before="240"/>
            </w:pPr>
            <w:r>
              <w:t xml:space="preserve"> </w:t>
            </w:r>
          </w:p>
        </w:tc>
      </w:tr>
      <w:tr w:rsidR="00320635" w14:paraId="06B753DD" w14:textId="77777777" w:rsidTr="00630704">
        <w:trPr>
          <w:trHeight w:val="851"/>
        </w:trPr>
        <w:tc>
          <w:tcPr>
            <w:tcW w:w="576" w:type="dxa"/>
          </w:tcPr>
          <w:p w14:paraId="4EA36AD5" w14:textId="4218FC5C" w:rsidR="00320635" w:rsidRDefault="00320635" w:rsidP="000855CC">
            <w:pPr>
              <w:spacing w:before="240"/>
              <w:jc w:val="center"/>
            </w:pPr>
            <w:r>
              <w:t>5</w:t>
            </w:r>
          </w:p>
        </w:tc>
        <w:tc>
          <w:tcPr>
            <w:tcW w:w="1829" w:type="dxa"/>
          </w:tcPr>
          <w:p w14:paraId="6E4654A1" w14:textId="318338A9" w:rsidR="00320635" w:rsidRDefault="00320635" w:rsidP="000855CC">
            <w:pPr>
              <w:spacing w:before="240"/>
            </w:pPr>
            <w:r>
              <w:t xml:space="preserve">Proponowana zmiana §23 </w:t>
            </w:r>
            <w:r w:rsidR="00204F46">
              <w:t xml:space="preserve">w części </w:t>
            </w:r>
            <w:r w:rsidR="00E7598A">
              <w:t xml:space="preserve">dotyczącej </w:t>
            </w:r>
            <w:r w:rsidR="00F33FEE">
              <w:t>25%</w:t>
            </w:r>
            <w:r w:rsidR="005B1854">
              <w:t xml:space="preserve">, bez względu na decyzje co do uwagi 4 </w:t>
            </w:r>
            <w:r w:rsidR="00F33FEE">
              <w:t xml:space="preserve"> </w:t>
            </w:r>
          </w:p>
        </w:tc>
        <w:tc>
          <w:tcPr>
            <w:tcW w:w="5973" w:type="dxa"/>
          </w:tcPr>
          <w:p w14:paraId="756BA862" w14:textId="77777777" w:rsidR="00F33FEE" w:rsidRDefault="00F33FEE" w:rsidP="00F33FEE">
            <w:pPr>
              <w:rPr>
                <w:rFonts w:ascii="Aptos" w:eastAsia="Times New Roman" w:hAnsi="Aptos" w:cs="Aptos"/>
              </w:rPr>
            </w:pPr>
          </w:p>
          <w:p w14:paraId="3E436BDB" w14:textId="7E4DEA72" w:rsidR="00320635" w:rsidRDefault="00F33FEE" w:rsidP="00204F46">
            <w:pPr>
              <w:rPr>
                <w:rFonts w:ascii="Aptos" w:eastAsia="Times New Roman" w:hAnsi="Aptos" w:cs="Aptos"/>
                <w:b/>
                <w:bCs/>
              </w:rPr>
            </w:pPr>
            <w:r w:rsidRPr="00F33FEE">
              <w:rPr>
                <w:rFonts w:ascii="Aptos" w:eastAsia="Times New Roman" w:hAnsi="Aptos" w:cs="Aptos"/>
              </w:rPr>
              <w:t xml:space="preserve">2) 25% opłaty podstawowej za planowany przejazd pociągu w przypadku złożenia rezygnacji z przydzielonej trasy pociągu w terminie krótszym niż 12 godzin przed planowym uruchomieniem pociągu </w:t>
            </w:r>
            <w:r w:rsidRPr="00F33FEE">
              <w:rPr>
                <w:rFonts w:ascii="Aptos" w:eastAsia="Times New Roman" w:hAnsi="Aptos" w:cs="Aptos"/>
                <w:b/>
                <w:bCs/>
              </w:rPr>
              <w:t>lub w przypadku złożenia rezygnacji z części przydzielonej trasy pociągu po jego uruchomieniu</w:t>
            </w:r>
            <w:r w:rsidR="008754D5">
              <w:rPr>
                <w:rFonts w:ascii="Aptos" w:eastAsia="Times New Roman" w:hAnsi="Aptos" w:cs="Aptos"/>
                <w:b/>
                <w:bCs/>
              </w:rPr>
              <w:t>;</w:t>
            </w:r>
          </w:p>
          <w:p w14:paraId="1B2989DE" w14:textId="5A2DCFED" w:rsidR="00204F46" w:rsidRPr="00204F46" w:rsidRDefault="00204F46" w:rsidP="00204F46">
            <w:pPr>
              <w:rPr>
                <w:rFonts w:ascii="Aptos" w:eastAsia="Times New Roman" w:hAnsi="Aptos" w:cs="Aptos"/>
                <w:b/>
                <w:bCs/>
              </w:rPr>
            </w:pPr>
          </w:p>
        </w:tc>
        <w:tc>
          <w:tcPr>
            <w:tcW w:w="6076" w:type="dxa"/>
          </w:tcPr>
          <w:p w14:paraId="5422517B" w14:textId="77777777" w:rsidR="00204F46" w:rsidRDefault="00204F46" w:rsidP="00204F46">
            <w:pPr>
              <w:rPr>
                <w:rFonts w:ascii="Aptos" w:eastAsia="Times New Roman" w:hAnsi="Aptos" w:cs="Aptos"/>
              </w:rPr>
            </w:pPr>
          </w:p>
          <w:p w14:paraId="6929E73F" w14:textId="3DBE96DA" w:rsidR="00204F46" w:rsidRPr="00204F46" w:rsidRDefault="00204F46" w:rsidP="00204F46">
            <w:pPr>
              <w:rPr>
                <w:rFonts w:ascii="Aptos" w:eastAsia="Times New Roman" w:hAnsi="Aptos" w:cs="Aptos"/>
              </w:rPr>
            </w:pPr>
            <w:r w:rsidRPr="00204F46">
              <w:rPr>
                <w:rFonts w:ascii="Aptos" w:eastAsia="Times New Roman" w:hAnsi="Aptos" w:cs="Aptos"/>
              </w:rPr>
              <w:t xml:space="preserve">Umożliwienie </w:t>
            </w:r>
            <w:r>
              <w:rPr>
                <w:rFonts w:ascii="Aptos" w:eastAsia="Times New Roman" w:hAnsi="Aptos" w:cs="Aptos"/>
              </w:rPr>
              <w:t>p</w:t>
            </w:r>
            <w:r w:rsidRPr="00204F46">
              <w:rPr>
                <w:rFonts w:ascii="Aptos" w:eastAsia="Times New Roman" w:hAnsi="Aptos" w:cs="Aptos"/>
              </w:rPr>
              <w:t>rzewoźnikom rezygnacji z części przydzielonej zdolności przepustowej także po uruchomieniu pociągu</w:t>
            </w:r>
          </w:p>
          <w:p w14:paraId="239ADA59" w14:textId="77777777" w:rsidR="00320635" w:rsidRDefault="00320635" w:rsidP="00367095">
            <w:pPr>
              <w:spacing w:before="240"/>
            </w:pPr>
          </w:p>
        </w:tc>
      </w:tr>
    </w:tbl>
    <w:p w14:paraId="5D482420" w14:textId="2A56B9C8" w:rsidR="001E2FC8" w:rsidRDefault="001E2FC8"/>
    <w:sectPr w:rsidR="001E2FC8" w:rsidSect="005B3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E521C" w14:textId="77777777" w:rsidR="00B73989" w:rsidRDefault="00B73989" w:rsidP="00AF3EEE">
      <w:pPr>
        <w:spacing w:after="0" w:line="240" w:lineRule="auto"/>
      </w:pPr>
      <w:r>
        <w:separator/>
      </w:r>
    </w:p>
  </w:endnote>
  <w:endnote w:type="continuationSeparator" w:id="0">
    <w:p w14:paraId="5C67B2ED" w14:textId="77777777" w:rsidR="00B73989" w:rsidRDefault="00B73989" w:rsidP="00AF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BC5E" w14:textId="77777777" w:rsidR="00AF3EEE" w:rsidRDefault="00AF3E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1129E" w14:textId="77777777" w:rsidR="00AF3EEE" w:rsidRDefault="00AF3E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29749" w14:textId="77777777" w:rsidR="00AF3EEE" w:rsidRDefault="00AF3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81FF9" w14:textId="77777777" w:rsidR="00B73989" w:rsidRDefault="00B73989" w:rsidP="00AF3EEE">
      <w:pPr>
        <w:spacing w:after="0" w:line="240" w:lineRule="auto"/>
      </w:pPr>
      <w:r>
        <w:separator/>
      </w:r>
    </w:p>
  </w:footnote>
  <w:footnote w:type="continuationSeparator" w:id="0">
    <w:p w14:paraId="72903B58" w14:textId="77777777" w:rsidR="00B73989" w:rsidRDefault="00B73989" w:rsidP="00AF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DAFBD" w14:textId="77777777" w:rsidR="00AF3EEE" w:rsidRDefault="00AF3E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F76E3" w14:textId="77777777" w:rsidR="00AF3EEE" w:rsidRDefault="00AF3E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08E99" w14:textId="77777777" w:rsidR="00AF3EEE" w:rsidRDefault="00AF3E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5200"/>
    <w:multiLevelType w:val="hybridMultilevel"/>
    <w:tmpl w:val="ED628A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401E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 w16cid:durableId="1430470018">
    <w:abstractNumId w:val="0"/>
  </w:num>
  <w:num w:numId="2" w16cid:durableId="1703240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B3D"/>
    <w:rsid w:val="00006EA4"/>
    <w:rsid w:val="0001226B"/>
    <w:rsid w:val="0003657A"/>
    <w:rsid w:val="0006192A"/>
    <w:rsid w:val="00073E96"/>
    <w:rsid w:val="000855CC"/>
    <w:rsid w:val="00092965"/>
    <w:rsid w:val="000A06AD"/>
    <w:rsid w:val="000A349D"/>
    <w:rsid w:val="000A64B7"/>
    <w:rsid w:val="000B1828"/>
    <w:rsid w:val="000C03B6"/>
    <w:rsid w:val="000E3565"/>
    <w:rsid w:val="000E582E"/>
    <w:rsid w:val="00104AAB"/>
    <w:rsid w:val="0012152D"/>
    <w:rsid w:val="0013623C"/>
    <w:rsid w:val="001379E5"/>
    <w:rsid w:val="00157BE1"/>
    <w:rsid w:val="001600F8"/>
    <w:rsid w:val="0016208E"/>
    <w:rsid w:val="001867DC"/>
    <w:rsid w:val="001D4ACB"/>
    <w:rsid w:val="001D55EA"/>
    <w:rsid w:val="001E2FC8"/>
    <w:rsid w:val="00201640"/>
    <w:rsid w:val="00204F46"/>
    <w:rsid w:val="00211249"/>
    <w:rsid w:val="00222E5D"/>
    <w:rsid w:val="00251D68"/>
    <w:rsid w:val="00294AB3"/>
    <w:rsid w:val="0029715B"/>
    <w:rsid w:val="00297FD7"/>
    <w:rsid w:val="002A074A"/>
    <w:rsid w:val="002D32FC"/>
    <w:rsid w:val="002E0529"/>
    <w:rsid w:val="0030189E"/>
    <w:rsid w:val="003100ED"/>
    <w:rsid w:val="00320635"/>
    <w:rsid w:val="00367095"/>
    <w:rsid w:val="003862BA"/>
    <w:rsid w:val="00396E1D"/>
    <w:rsid w:val="003A648F"/>
    <w:rsid w:val="003D68F2"/>
    <w:rsid w:val="003E5991"/>
    <w:rsid w:val="003F0974"/>
    <w:rsid w:val="004176F0"/>
    <w:rsid w:val="004223A0"/>
    <w:rsid w:val="004815C0"/>
    <w:rsid w:val="004B405F"/>
    <w:rsid w:val="004C47E9"/>
    <w:rsid w:val="004C7567"/>
    <w:rsid w:val="0052108A"/>
    <w:rsid w:val="00552978"/>
    <w:rsid w:val="00566AE9"/>
    <w:rsid w:val="0057659D"/>
    <w:rsid w:val="00587882"/>
    <w:rsid w:val="005B1854"/>
    <w:rsid w:val="005B3B3D"/>
    <w:rsid w:val="005B5BB3"/>
    <w:rsid w:val="005F14A0"/>
    <w:rsid w:val="005F7640"/>
    <w:rsid w:val="00612C34"/>
    <w:rsid w:val="00613E1D"/>
    <w:rsid w:val="00615819"/>
    <w:rsid w:val="00616FA9"/>
    <w:rsid w:val="00617119"/>
    <w:rsid w:val="00627F48"/>
    <w:rsid w:val="00630704"/>
    <w:rsid w:val="00631596"/>
    <w:rsid w:val="00635E04"/>
    <w:rsid w:val="0064573F"/>
    <w:rsid w:val="0067568E"/>
    <w:rsid w:val="00685BF8"/>
    <w:rsid w:val="00700662"/>
    <w:rsid w:val="007328E9"/>
    <w:rsid w:val="007679B2"/>
    <w:rsid w:val="007711B9"/>
    <w:rsid w:val="00794B88"/>
    <w:rsid w:val="007B31A0"/>
    <w:rsid w:val="007E4C64"/>
    <w:rsid w:val="007E64F8"/>
    <w:rsid w:val="0082107D"/>
    <w:rsid w:val="00844EF9"/>
    <w:rsid w:val="008754D5"/>
    <w:rsid w:val="008841CE"/>
    <w:rsid w:val="008A5D06"/>
    <w:rsid w:val="008C2B5D"/>
    <w:rsid w:val="008C5035"/>
    <w:rsid w:val="008D074E"/>
    <w:rsid w:val="008D205C"/>
    <w:rsid w:val="008E150A"/>
    <w:rsid w:val="00904D39"/>
    <w:rsid w:val="009563B4"/>
    <w:rsid w:val="009609FC"/>
    <w:rsid w:val="00972622"/>
    <w:rsid w:val="009A74E1"/>
    <w:rsid w:val="009C538D"/>
    <w:rsid w:val="009D1AFF"/>
    <w:rsid w:val="009D511E"/>
    <w:rsid w:val="009D585B"/>
    <w:rsid w:val="009E176F"/>
    <w:rsid w:val="009E29D2"/>
    <w:rsid w:val="009F532D"/>
    <w:rsid w:val="009F7335"/>
    <w:rsid w:val="009F79EE"/>
    <w:rsid w:val="00A30C42"/>
    <w:rsid w:val="00A34E7F"/>
    <w:rsid w:val="00A46D6D"/>
    <w:rsid w:val="00A573D4"/>
    <w:rsid w:val="00A75958"/>
    <w:rsid w:val="00AB544C"/>
    <w:rsid w:val="00AC53CC"/>
    <w:rsid w:val="00AE75B8"/>
    <w:rsid w:val="00AF0C56"/>
    <w:rsid w:val="00AF3443"/>
    <w:rsid w:val="00AF3EEE"/>
    <w:rsid w:val="00AF5066"/>
    <w:rsid w:val="00B04420"/>
    <w:rsid w:val="00B15553"/>
    <w:rsid w:val="00B42D74"/>
    <w:rsid w:val="00B54790"/>
    <w:rsid w:val="00B73989"/>
    <w:rsid w:val="00BB7D73"/>
    <w:rsid w:val="00BF0024"/>
    <w:rsid w:val="00C1142E"/>
    <w:rsid w:val="00C16A6E"/>
    <w:rsid w:val="00C1720B"/>
    <w:rsid w:val="00C22A86"/>
    <w:rsid w:val="00C279AE"/>
    <w:rsid w:val="00C41538"/>
    <w:rsid w:val="00C50512"/>
    <w:rsid w:val="00C543DC"/>
    <w:rsid w:val="00C873EA"/>
    <w:rsid w:val="00CA75D8"/>
    <w:rsid w:val="00CC2B6A"/>
    <w:rsid w:val="00CD1293"/>
    <w:rsid w:val="00CE24A1"/>
    <w:rsid w:val="00CE61FA"/>
    <w:rsid w:val="00CE6E38"/>
    <w:rsid w:val="00D002E9"/>
    <w:rsid w:val="00D01888"/>
    <w:rsid w:val="00D14DB0"/>
    <w:rsid w:val="00D30769"/>
    <w:rsid w:val="00D5051F"/>
    <w:rsid w:val="00D60953"/>
    <w:rsid w:val="00D645F8"/>
    <w:rsid w:val="00D66A50"/>
    <w:rsid w:val="00D75E29"/>
    <w:rsid w:val="00D764C4"/>
    <w:rsid w:val="00D854C8"/>
    <w:rsid w:val="00D95B40"/>
    <w:rsid w:val="00DC295F"/>
    <w:rsid w:val="00DC4C17"/>
    <w:rsid w:val="00DE2558"/>
    <w:rsid w:val="00DF4502"/>
    <w:rsid w:val="00DF7EB5"/>
    <w:rsid w:val="00E10333"/>
    <w:rsid w:val="00E15E80"/>
    <w:rsid w:val="00E266E0"/>
    <w:rsid w:val="00E30E1A"/>
    <w:rsid w:val="00E35E97"/>
    <w:rsid w:val="00E36599"/>
    <w:rsid w:val="00E512FD"/>
    <w:rsid w:val="00E5232A"/>
    <w:rsid w:val="00E52C53"/>
    <w:rsid w:val="00E75933"/>
    <w:rsid w:val="00E7598A"/>
    <w:rsid w:val="00EC61F9"/>
    <w:rsid w:val="00F16F17"/>
    <w:rsid w:val="00F268DE"/>
    <w:rsid w:val="00F33FEE"/>
    <w:rsid w:val="00F44F60"/>
    <w:rsid w:val="00F80886"/>
    <w:rsid w:val="00F82070"/>
    <w:rsid w:val="00FB156D"/>
    <w:rsid w:val="00FC3A1A"/>
    <w:rsid w:val="00FC4BEB"/>
    <w:rsid w:val="00FD6F54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C0CAF"/>
  <w15:chartTrackingRefBased/>
  <w15:docId w15:val="{6EC45C74-04F3-4830-AA4B-209E927F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EEE"/>
  </w:style>
  <w:style w:type="paragraph" w:styleId="Stopka">
    <w:name w:val="footer"/>
    <w:basedOn w:val="Normalny"/>
    <w:link w:val="StopkaZnak"/>
    <w:uiPriority w:val="99"/>
    <w:unhideWhenUsed/>
    <w:rsid w:val="00AF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EEE"/>
  </w:style>
  <w:style w:type="paragraph" w:styleId="Tekstprzypisudolnego">
    <w:name w:val="footnote text"/>
    <w:basedOn w:val="Normalny"/>
    <w:link w:val="TekstprzypisudolnegoZnak"/>
    <w:uiPriority w:val="99"/>
    <w:unhideWhenUsed/>
    <w:rsid w:val="0030189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189E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0188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51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735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2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7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0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Syryjczyk</dc:creator>
  <cp:keywords/>
  <dc:description/>
  <cp:lastModifiedBy>Tadeusz Syryjczyk</cp:lastModifiedBy>
  <cp:revision>3</cp:revision>
  <dcterms:created xsi:type="dcterms:W3CDTF">2025-01-08T09:40:00Z</dcterms:created>
  <dcterms:modified xsi:type="dcterms:W3CDTF">2025-01-08T09:40:00Z</dcterms:modified>
</cp:coreProperties>
</file>